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16C9" w14:textId="21EF621C" w:rsidR="000634DE" w:rsidRDefault="000B0247" w:rsidP="000B0247">
      <w:pPr>
        <w:jc w:val="center"/>
      </w:pPr>
      <w:r>
        <w:t xml:space="preserve">Spin dynamics and orientation selection in </w:t>
      </w:r>
      <w:proofErr w:type="gramStart"/>
      <w:r>
        <w:t>Gd(</w:t>
      </w:r>
      <w:proofErr w:type="gramEnd"/>
      <w:r>
        <w:t>III)-</w:t>
      </w:r>
      <w:r w:rsidR="000634DE" w:rsidRPr="00EC5418">
        <w:rPr>
          <w:vertAlign w:val="superscript"/>
        </w:rPr>
        <w:t>19</w:t>
      </w:r>
      <w:r w:rsidR="000634DE">
        <w:t xml:space="preserve">F electron-nuclear double resonance </w:t>
      </w:r>
    </w:p>
    <w:p w14:paraId="75227088" w14:textId="77777777" w:rsidR="000B0247" w:rsidRDefault="000B0247" w:rsidP="000B0247">
      <w:pPr>
        <w:jc w:val="center"/>
      </w:pPr>
    </w:p>
    <w:p w14:paraId="05BDDF56" w14:textId="77777777" w:rsidR="000634DE" w:rsidRDefault="000634DE" w:rsidP="000634DE">
      <w:pPr>
        <w:jc w:val="center"/>
      </w:pPr>
      <w:r>
        <w:t>Daniella Goldfarb</w:t>
      </w:r>
    </w:p>
    <w:p w14:paraId="602D9033" w14:textId="77777777" w:rsidR="000634DE" w:rsidRDefault="000634DE" w:rsidP="000634DE">
      <w:pPr>
        <w:jc w:val="center"/>
      </w:pPr>
      <w:r>
        <w:t>Department of Chemical and Biological Physics, Weizmann Institute of Science</w:t>
      </w:r>
    </w:p>
    <w:p w14:paraId="4F01E9F0" w14:textId="77777777" w:rsidR="000634DE" w:rsidRDefault="000634DE" w:rsidP="000634DE"/>
    <w:p w14:paraId="06F53272" w14:textId="311AD7C6" w:rsidR="000634DE" w:rsidRDefault="000634DE" w:rsidP="005201AD">
      <w:pPr>
        <w:spacing w:line="360" w:lineRule="auto"/>
        <w:ind w:firstLine="630"/>
        <w:jc w:val="both"/>
      </w:pPr>
      <w:r>
        <w:t xml:space="preserve">Measuring dipolar interactions between a spin label and a </w:t>
      </w:r>
      <w:r w:rsidRPr="00821C84">
        <w:rPr>
          <w:vertAlign w:val="superscript"/>
        </w:rPr>
        <w:t>19</w:t>
      </w:r>
      <w:r>
        <w:t>F nucleus attached at strategically chosen positions in a protein or nucleic acid has recently emerged as an attractive approach to distance determination for structural biology applications.</w:t>
      </w:r>
      <w:r>
        <w:rPr>
          <w:vertAlign w:val="superscript"/>
        </w:rPr>
        <w:t>1</w:t>
      </w:r>
      <w:r>
        <w:t xml:space="preserve"> This approach complements distance measurements between two spin labels, typically measured by electron-electron double resonance techniques, which have a low limit of around 1.5-2 nm. The electron-nuclear interactions can be accessed by the solid-state electron-nuclear double resonance (ENDOR) technique that allows measuring the NMR spectrum of the nuclei magnetically coupled to the unpaired electron. This technique can employ a variety of spin labels such as nitroxide, trityls, </w:t>
      </w:r>
      <w:proofErr w:type="gramStart"/>
      <w:r>
        <w:t>Gd(</w:t>
      </w:r>
      <w:proofErr w:type="gramEnd"/>
      <w:r>
        <w:t xml:space="preserve">III), and </w:t>
      </w:r>
      <w:proofErr w:type="gramStart"/>
      <w:r>
        <w:t>Cu(</w:t>
      </w:r>
      <w:proofErr w:type="gramEnd"/>
      <w:r>
        <w:t xml:space="preserve">II), and the choice of label depends on the problem at hand. The upper accessible range is around 1.5-2 nm. </w:t>
      </w:r>
      <w:r w:rsidR="000B0247">
        <w:t>W</w:t>
      </w:r>
      <w:r>
        <w:t xml:space="preserve">e will focus on </w:t>
      </w:r>
      <w:r w:rsidR="000B0247">
        <w:t>high-spin</w:t>
      </w:r>
      <w:r>
        <w:t xml:space="preserve">, S=7/2 </w:t>
      </w:r>
      <w:proofErr w:type="gramStart"/>
      <w:r>
        <w:t>Gd(</w:t>
      </w:r>
      <w:proofErr w:type="gramEnd"/>
      <w:r>
        <w:t xml:space="preserve">III) spin labels, which also allow in-cell measurements. With </w:t>
      </w:r>
      <w:proofErr w:type="gramStart"/>
      <w:r w:rsidRPr="009F4C4E">
        <w:rPr>
          <w:rFonts w:cstheme="minorHAnsi"/>
        </w:rPr>
        <w:t>Gd(</w:t>
      </w:r>
      <w:proofErr w:type="gramEnd"/>
      <w:r w:rsidRPr="009F4C4E">
        <w:rPr>
          <w:rFonts w:cstheme="minorHAnsi"/>
        </w:rPr>
        <w:t xml:space="preserve">III), it is possible to </w:t>
      </w:r>
      <w:r w:rsidR="005201AD">
        <w:rPr>
          <w:rFonts w:cstheme="minorHAnsi"/>
        </w:rPr>
        <w:t>enhance</w:t>
      </w:r>
      <w:r w:rsidRPr="009F4C4E">
        <w:rPr>
          <w:rFonts w:cstheme="minorHAnsi"/>
        </w:rPr>
        <w:t xml:space="preserve"> the resolution of ENDOR spectra, thus extending the long-distance limits of this technique by almost a factor of two. This is achieved by exploiting the high electron spin of </w:t>
      </w:r>
      <w:proofErr w:type="gramStart"/>
      <w:r w:rsidRPr="009F4C4E">
        <w:rPr>
          <w:rFonts w:cstheme="minorHAnsi"/>
        </w:rPr>
        <w:t>Gd(</w:t>
      </w:r>
      <w:proofErr w:type="gramEnd"/>
      <w:r w:rsidRPr="009F4C4E">
        <w:rPr>
          <w:rFonts w:cstheme="minorHAnsi"/>
        </w:rPr>
        <w:t xml:space="preserve">III) and performing measurements at high fields and low temperatures, such that the low-lying energy levels become highly populated. </w:t>
      </w:r>
      <w:r w:rsidR="000B0247">
        <w:rPr>
          <w:rFonts w:cstheme="minorHAnsi"/>
        </w:rPr>
        <w:t xml:space="preserve">To determine the highest possible resolution in the </w:t>
      </w:r>
      <w:r w:rsidR="000B0247" w:rsidRPr="000B0247">
        <w:rPr>
          <w:rFonts w:cstheme="minorHAnsi"/>
          <w:vertAlign w:val="superscript"/>
        </w:rPr>
        <w:t>19</w:t>
      </w:r>
      <w:r w:rsidR="000B0247">
        <w:rPr>
          <w:rFonts w:cstheme="minorHAnsi"/>
        </w:rPr>
        <w:t xml:space="preserve">F ENDOR spectrum, we determined the  </w:t>
      </w:r>
      <w:r w:rsidR="000B0247" w:rsidRPr="005201AD">
        <w:rPr>
          <w:rFonts w:cstheme="minorHAnsi"/>
          <w:vertAlign w:val="superscript"/>
        </w:rPr>
        <w:t>19</w:t>
      </w:r>
      <w:r w:rsidR="000B0247">
        <w:rPr>
          <w:rFonts w:cstheme="minorHAnsi"/>
        </w:rPr>
        <w:t xml:space="preserve">F spin-spin relaxation rate using time domain ENDOR and found that it is primarily determined by the Gd(III) spin lattice relaxation rate, and it is small compared to other broadening mechanisms.  </w:t>
      </w:r>
      <w:r w:rsidR="005201AD">
        <w:rPr>
          <w:rFonts w:cstheme="minorHAnsi"/>
        </w:rPr>
        <w:t xml:space="preserve">In addition, we explored the conditions under which orientation selection is possible, such that it can either give additional structural information, or when the structure is known, give information on the orientation of the zero-field splitting (ZFS) tensor within the molecules, a property that has so far been different to determine experimentally in frozen solutions. </w:t>
      </w:r>
    </w:p>
    <w:p w14:paraId="079CFE0F" w14:textId="77777777" w:rsidR="000634DE" w:rsidRDefault="000634DE" w:rsidP="000634DE"/>
    <w:p w14:paraId="2CCB333B" w14:textId="77777777" w:rsidR="000634DE" w:rsidRDefault="000634DE" w:rsidP="000634DE">
      <w:pPr>
        <w:rPr>
          <w:sz w:val="20"/>
          <w:szCs w:val="20"/>
        </w:rPr>
      </w:pPr>
      <w:r w:rsidRPr="00EC5418">
        <w:rPr>
          <w:sz w:val="20"/>
          <w:szCs w:val="20"/>
          <w:vertAlign w:val="superscript"/>
        </w:rPr>
        <w:t>1</w:t>
      </w:r>
      <w:r w:rsidRPr="00EC5418">
        <w:rPr>
          <w:sz w:val="20"/>
          <w:szCs w:val="20"/>
        </w:rPr>
        <w:t xml:space="preserve">Meyer, A.; Dechert, S.; Dey, S.; </w:t>
      </w:r>
      <w:proofErr w:type="spellStart"/>
      <w:r w:rsidRPr="00EC5418">
        <w:rPr>
          <w:sz w:val="20"/>
          <w:szCs w:val="20"/>
        </w:rPr>
        <w:t>Höbartner</w:t>
      </w:r>
      <w:proofErr w:type="spellEnd"/>
      <w:r w:rsidRPr="00EC5418">
        <w:rPr>
          <w:sz w:val="20"/>
          <w:szCs w:val="20"/>
        </w:rPr>
        <w:t xml:space="preserve">, C.; Bennati, M. Measurement of Angstrom to Nanometer Molecular Distances with 19F Nuclear Spins by EPR/ENDOR Spectroscopy. </w:t>
      </w:r>
      <w:proofErr w:type="spellStart"/>
      <w:r w:rsidRPr="00EC5418">
        <w:rPr>
          <w:i/>
          <w:sz w:val="20"/>
          <w:szCs w:val="20"/>
        </w:rPr>
        <w:t>Angew</w:t>
      </w:r>
      <w:proofErr w:type="spellEnd"/>
      <w:r w:rsidRPr="00EC5418">
        <w:rPr>
          <w:i/>
          <w:sz w:val="20"/>
          <w:szCs w:val="20"/>
        </w:rPr>
        <w:t xml:space="preserve">. Chem. Int. Ed. </w:t>
      </w:r>
      <w:r w:rsidRPr="00EC5418">
        <w:rPr>
          <w:b/>
          <w:sz w:val="20"/>
          <w:szCs w:val="20"/>
        </w:rPr>
        <w:t>2020</w:t>
      </w:r>
      <w:r w:rsidRPr="00EC5418">
        <w:rPr>
          <w:sz w:val="20"/>
          <w:szCs w:val="20"/>
        </w:rPr>
        <w:t xml:space="preserve">, </w:t>
      </w:r>
      <w:r w:rsidRPr="00EC5418">
        <w:rPr>
          <w:i/>
          <w:sz w:val="20"/>
          <w:szCs w:val="20"/>
        </w:rPr>
        <w:t>59</w:t>
      </w:r>
      <w:r w:rsidRPr="00EC5418">
        <w:rPr>
          <w:sz w:val="20"/>
          <w:szCs w:val="20"/>
        </w:rPr>
        <w:t xml:space="preserve"> (1), 373-379. </w:t>
      </w:r>
    </w:p>
    <w:p w14:paraId="2C213BFF" w14:textId="77777777" w:rsidR="00BD6324" w:rsidRPr="00EC5418" w:rsidRDefault="00BD6324" w:rsidP="000634DE">
      <w:pPr>
        <w:rPr>
          <w:sz w:val="20"/>
          <w:szCs w:val="20"/>
        </w:rPr>
      </w:pPr>
    </w:p>
    <w:p w14:paraId="648C60EB" w14:textId="77777777" w:rsidR="006B3F1F" w:rsidRDefault="006B3F1F"/>
    <w:sectPr w:rsidR="006B3F1F" w:rsidSect="000634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5A"/>
    <w:rsid w:val="000613BC"/>
    <w:rsid w:val="000634DE"/>
    <w:rsid w:val="000B0247"/>
    <w:rsid w:val="0025222C"/>
    <w:rsid w:val="0043515E"/>
    <w:rsid w:val="004B4DC8"/>
    <w:rsid w:val="005201AD"/>
    <w:rsid w:val="00695EA3"/>
    <w:rsid w:val="006B3F1F"/>
    <w:rsid w:val="007C1A06"/>
    <w:rsid w:val="008A5304"/>
    <w:rsid w:val="008B056F"/>
    <w:rsid w:val="00B91145"/>
    <w:rsid w:val="00BD6324"/>
    <w:rsid w:val="00C512E6"/>
    <w:rsid w:val="00C90E0D"/>
    <w:rsid w:val="00CC7E3F"/>
    <w:rsid w:val="00DA0C5A"/>
    <w:rsid w:val="00E12BCB"/>
    <w:rsid w:val="00FC36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9C9B0"/>
  <w15:chartTrackingRefBased/>
  <w15:docId w15:val="{C526AFF5-4D9A-4EFF-B494-D06B6B07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DE"/>
    <w:pPr>
      <w:spacing w:after="0" w:line="240" w:lineRule="auto"/>
    </w:pPr>
    <w:rPr>
      <w:rFonts w:eastAsiaTheme="minorEastAsia"/>
      <w:sz w:val="22"/>
      <w:szCs w:val="22"/>
    </w:rPr>
  </w:style>
  <w:style w:type="paragraph" w:styleId="Heading1">
    <w:name w:val="heading 1"/>
    <w:basedOn w:val="Normal"/>
    <w:next w:val="Normal"/>
    <w:link w:val="Heading1Char"/>
    <w:uiPriority w:val="9"/>
    <w:qFormat/>
    <w:rsid w:val="00DA0C5A"/>
    <w:pPr>
      <w:keepNext/>
      <w:keepLines/>
      <w:spacing w:before="360" w:after="80" w:line="278"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A0C5A"/>
    <w:pPr>
      <w:keepNext/>
      <w:keepLines/>
      <w:spacing w:before="160" w:after="80" w:line="278"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0C5A"/>
    <w:pPr>
      <w:keepNext/>
      <w:keepLines/>
      <w:spacing w:before="160" w:after="80" w:line="278"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0C5A"/>
    <w:pPr>
      <w:keepNext/>
      <w:keepLines/>
      <w:spacing w:before="80" w:after="40" w:line="278" w:lineRule="auto"/>
      <w:outlineLvl w:val="3"/>
    </w:pPr>
    <w:rPr>
      <w:rFonts w:eastAsiaTheme="majorEastAsia"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DA0C5A"/>
    <w:pPr>
      <w:keepNext/>
      <w:keepLines/>
      <w:spacing w:before="80" w:after="40" w:line="278" w:lineRule="auto"/>
      <w:outlineLvl w:val="4"/>
    </w:pPr>
    <w:rPr>
      <w:rFonts w:eastAsiaTheme="majorEastAsia"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DA0C5A"/>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A0C5A"/>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A0C5A"/>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A0C5A"/>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C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0C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0C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0C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A0C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A0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C5A"/>
    <w:rPr>
      <w:rFonts w:eastAsiaTheme="majorEastAsia" w:cstheme="majorBidi"/>
      <w:color w:val="272727" w:themeColor="text1" w:themeTint="D8"/>
    </w:rPr>
  </w:style>
  <w:style w:type="paragraph" w:styleId="Title">
    <w:name w:val="Title"/>
    <w:basedOn w:val="Normal"/>
    <w:next w:val="Normal"/>
    <w:link w:val="TitleChar"/>
    <w:uiPriority w:val="10"/>
    <w:qFormat/>
    <w:rsid w:val="00DA0C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C5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C5A"/>
    <w:pPr>
      <w:spacing w:before="160" w:after="160" w:line="278"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DA0C5A"/>
    <w:rPr>
      <w:i/>
      <w:iCs/>
      <w:color w:val="404040" w:themeColor="text1" w:themeTint="BF"/>
    </w:rPr>
  </w:style>
  <w:style w:type="paragraph" w:styleId="ListParagraph">
    <w:name w:val="List Paragraph"/>
    <w:basedOn w:val="Normal"/>
    <w:uiPriority w:val="34"/>
    <w:qFormat/>
    <w:rsid w:val="00DA0C5A"/>
    <w:pPr>
      <w:spacing w:after="160" w:line="278" w:lineRule="auto"/>
      <w:ind w:left="720"/>
      <w:contextualSpacing/>
    </w:pPr>
    <w:rPr>
      <w:rFonts w:eastAsiaTheme="minorHAnsi"/>
      <w:sz w:val="24"/>
      <w:szCs w:val="24"/>
    </w:rPr>
  </w:style>
  <w:style w:type="character" w:styleId="IntenseEmphasis">
    <w:name w:val="Intense Emphasis"/>
    <w:basedOn w:val="DefaultParagraphFont"/>
    <w:uiPriority w:val="21"/>
    <w:qFormat/>
    <w:rsid w:val="00DA0C5A"/>
    <w:rPr>
      <w:i/>
      <w:iCs/>
      <w:color w:val="2E74B5" w:themeColor="accent1" w:themeShade="BF"/>
    </w:rPr>
  </w:style>
  <w:style w:type="paragraph" w:styleId="IntenseQuote">
    <w:name w:val="Intense Quote"/>
    <w:basedOn w:val="Normal"/>
    <w:next w:val="Normal"/>
    <w:link w:val="IntenseQuoteChar"/>
    <w:uiPriority w:val="30"/>
    <w:qFormat/>
    <w:rsid w:val="00DA0C5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sz w:val="24"/>
      <w:szCs w:val="24"/>
    </w:rPr>
  </w:style>
  <w:style w:type="character" w:customStyle="1" w:styleId="IntenseQuoteChar">
    <w:name w:val="Intense Quote Char"/>
    <w:basedOn w:val="DefaultParagraphFont"/>
    <w:link w:val="IntenseQuote"/>
    <w:uiPriority w:val="30"/>
    <w:rsid w:val="00DA0C5A"/>
    <w:rPr>
      <w:i/>
      <w:iCs/>
      <w:color w:val="2E74B5" w:themeColor="accent1" w:themeShade="BF"/>
    </w:rPr>
  </w:style>
  <w:style w:type="character" w:styleId="IntenseReference">
    <w:name w:val="Intense Reference"/>
    <w:basedOn w:val="DefaultParagraphFont"/>
    <w:uiPriority w:val="32"/>
    <w:qFormat/>
    <w:rsid w:val="00DA0C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352</Words>
  <Characters>2023</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WIS</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Goldfarb</dc:creator>
  <cp:keywords/>
  <dc:description/>
  <cp:lastModifiedBy>Daniella Goldfarb</cp:lastModifiedBy>
  <cp:revision>3</cp:revision>
  <dcterms:created xsi:type="dcterms:W3CDTF">2025-06-29T04:55:00Z</dcterms:created>
  <dcterms:modified xsi:type="dcterms:W3CDTF">2025-06-29T05:13:00Z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76e41ed7-096c-4c4e-b2c0-de3481af977b</vt:lpwstr>
  </property>
</Properties>
</file>