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166" w14:textId="5B086616" w:rsidR="00550E10" w:rsidRPr="007F2989" w:rsidRDefault="006D1DC0" w:rsidP="00550E10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pin-Hall effects in epitaxial </w:t>
      </w:r>
      <w:r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Pd</w:t>
      </w:r>
      <w:r w:rsidRPr="007F298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1-x</w:t>
      </w:r>
      <w:r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Fe</w:t>
      </w:r>
      <w:r w:rsidRPr="007F298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x</w:t>
      </w:r>
      <w:r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/Pt 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and Pd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1-x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Fe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en-US"/>
        </w:rPr>
        <w:t>x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="00550E10" w:rsidRPr="007F29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thin film structures</w:t>
      </w:r>
    </w:p>
    <w:p w14:paraId="2A668A92" w14:textId="254DD0B2" w:rsidR="00550E10" w:rsidRPr="00252E8A" w:rsidRDefault="00550E10" w:rsidP="00550E1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proofErr w:type="spellStart"/>
      <w:r w:rsidRPr="00252E8A">
        <w:rPr>
          <w:rFonts w:ascii="Times New Roman" w:hAnsi="Times New Roman" w:cs="Times New Roman"/>
          <w:b/>
          <w:bCs/>
          <w:sz w:val="21"/>
          <w:szCs w:val="21"/>
          <w:u w:val="single"/>
          <w:lang w:val="en-US"/>
        </w:rPr>
        <w:t>Zh.K</w:t>
      </w:r>
      <w:r w:rsidR="006D1DC0">
        <w:rPr>
          <w:rFonts w:ascii="Times New Roman" w:hAnsi="Times New Roman" w:cs="Times New Roman"/>
          <w:b/>
          <w:bCs/>
          <w:sz w:val="21"/>
          <w:szCs w:val="21"/>
          <w:u w:val="single"/>
          <w:lang w:val="en-US"/>
        </w:rPr>
        <w:t>h</w:t>
      </w:r>
      <w:proofErr w:type="spellEnd"/>
      <w:r w:rsidRPr="00252E8A">
        <w:rPr>
          <w:rFonts w:ascii="Times New Roman" w:hAnsi="Times New Roman" w:cs="Times New Roman"/>
          <w:b/>
          <w:bCs/>
          <w:sz w:val="21"/>
          <w:szCs w:val="21"/>
          <w:u w:val="single"/>
          <w:lang w:val="en-US"/>
        </w:rPr>
        <w:t>. Pulotov</w:t>
      </w:r>
      <w:r w:rsidRPr="00252E8A">
        <w:rPr>
          <w:rFonts w:ascii="Times New Roman" w:hAnsi="Times New Roman" w:cs="Times New Roman"/>
          <w:b/>
          <w:bCs/>
          <w:sz w:val="21"/>
          <w:szCs w:val="21"/>
          <w:u w:val="single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, </w:t>
      </w:r>
      <w:proofErr w:type="spellStart"/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A.K</w:t>
      </w:r>
      <w:r w:rsidR="006D1DC0">
        <w:rPr>
          <w:rFonts w:ascii="Times New Roman" w:hAnsi="Times New Roman" w:cs="Times New Roman"/>
          <w:b/>
          <w:bCs/>
          <w:sz w:val="21"/>
          <w:szCs w:val="21"/>
          <w:lang w:val="en-US"/>
        </w:rPr>
        <w:t>h</w:t>
      </w:r>
      <w:proofErr w:type="spellEnd"/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. Kadikova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B.F. Gabbasov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I.V. Yanilkin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A.I.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 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Gumarov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A.G. Kiiamov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L.R. Tagirov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1,2</w:t>
      </w:r>
      <w:r w:rsidRPr="00252E8A">
        <w:rPr>
          <w:rFonts w:ascii="Times New Roman" w:hAnsi="Times New Roman" w:cs="Times New Roman"/>
          <w:b/>
          <w:bCs/>
          <w:sz w:val="21"/>
          <w:szCs w:val="21"/>
          <w:lang w:val="en-US"/>
        </w:rPr>
        <w:t>, R.V. Yusupov</w:t>
      </w:r>
      <w:r w:rsidRPr="00252E8A">
        <w:rPr>
          <w:rFonts w:ascii="Times New Roman" w:hAnsi="Times New Roman" w:cs="Times New Roman"/>
          <w:b/>
          <w:bCs/>
          <w:sz w:val="21"/>
          <w:szCs w:val="21"/>
          <w:vertAlign w:val="superscript"/>
          <w:lang w:val="en-US"/>
        </w:rPr>
        <w:t>1</w:t>
      </w:r>
    </w:p>
    <w:p w14:paraId="3ADEC7E6" w14:textId="77777777" w:rsidR="00550E10" w:rsidRPr="008E78E3" w:rsidRDefault="00550E10" w:rsidP="00550E10">
      <w:pPr>
        <w:pStyle w:val="NMRCMAddres"/>
        <w:spacing w:line="240" w:lineRule="auto"/>
        <w:jc w:val="center"/>
        <w:rPr>
          <w:rFonts w:ascii="Times New Roman" w:hAnsi="Times New Roman"/>
          <w:i w:val="0"/>
        </w:rPr>
      </w:pPr>
      <w:r w:rsidRPr="008E78E3">
        <w:rPr>
          <w:rFonts w:ascii="Times New Roman" w:hAnsi="Times New Roman"/>
          <w:i w:val="0"/>
          <w:vertAlign w:val="superscript"/>
        </w:rPr>
        <w:t>1</w:t>
      </w:r>
      <w:r>
        <w:rPr>
          <w:rFonts w:ascii="Times New Roman" w:hAnsi="Times New Roman"/>
          <w:i w:val="0"/>
          <w:vertAlign w:val="superscript"/>
        </w:rPr>
        <w:t xml:space="preserve"> </w:t>
      </w:r>
      <w:r w:rsidRPr="008E78E3">
        <w:rPr>
          <w:rFonts w:ascii="Times New Roman" w:hAnsi="Times New Roman"/>
          <w:i w:val="0"/>
        </w:rPr>
        <w:t>Kazan Federal University, Kazan, Russian Federation</w:t>
      </w:r>
    </w:p>
    <w:p w14:paraId="0FA799A0" w14:textId="77777777" w:rsidR="00550E10" w:rsidRPr="00862623" w:rsidRDefault="00550E10" w:rsidP="00550E1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8E78E3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>
        <w:rPr>
          <w:rFonts w:ascii="Times New Roman" w:hAnsi="Times New Roman"/>
          <w:sz w:val="16"/>
          <w:szCs w:val="16"/>
          <w:vertAlign w:val="superscript"/>
          <w:lang w:val="en-US"/>
        </w:rPr>
        <w:t xml:space="preserve"> </w:t>
      </w:r>
      <w:proofErr w:type="spellStart"/>
      <w:r w:rsidRPr="008E78E3">
        <w:rPr>
          <w:rFonts w:ascii="Times New Roman" w:hAnsi="Times New Roman"/>
          <w:sz w:val="16"/>
          <w:szCs w:val="16"/>
          <w:lang w:val="en-US"/>
        </w:rPr>
        <w:t>Zavoisky</w:t>
      </w:r>
      <w:proofErr w:type="spellEnd"/>
      <w:r w:rsidRPr="008E78E3">
        <w:rPr>
          <w:rFonts w:ascii="Times New Roman" w:hAnsi="Times New Roman"/>
          <w:sz w:val="16"/>
          <w:szCs w:val="16"/>
          <w:lang w:val="en-US"/>
        </w:rPr>
        <w:t xml:space="preserve"> Physical-Technical Institute, Kazan, Russian Federation</w:t>
      </w:r>
    </w:p>
    <w:p w14:paraId="46627209" w14:textId="3257F770" w:rsidR="00550E10" w:rsidRPr="007767F2" w:rsidRDefault="00550E10" w:rsidP="00DE2DE0">
      <w:pPr>
        <w:spacing w:before="48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7F2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Hall Effects (SHE) are phenomena arising from the interplay between charge and spin currents in materials with strong spin-orbit coupling.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SHE consists in the occurrence of a spin current during the flow of a charge current, which leads to a spatial redistribution of charge carriers (electrons) with oppositely directed spins. 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The efficiency of spin-to-charge conversion is characterized by the spin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Hall angle. Spin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Hall effects hold promise for superconducting spintronics as a fast mechanism for magnetization switching in a </w:t>
      </w:r>
      <w:r w:rsidR="002C3A7E">
        <w:rPr>
          <w:rFonts w:ascii="Times New Roman" w:hAnsi="Times New Roman" w:cs="Times New Roman"/>
          <w:sz w:val="24"/>
          <w:szCs w:val="24"/>
          <w:lang w:val="en-US"/>
        </w:rPr>
        <w:t>switch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able ferromagnetic layer within superconducting spin valves, eliminating the need for an external magnetic field. However, superconducting elements can only function at cryogenic temperatures, making palladium-iron (Pd-Fe) solid solutions one of the most promising materials for ferromagnetic layers in superconducting spin valves. Magnetic ordering in the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alloy (with iron content x = 1–12 </w:t>
      </w:r>
      <w:proofErr w:type="gramStart"/>
      <w:r w:rsidRPr="007767F2">
        <w:rPr>
          <w:rFonts w:ascii="Times New Roman" w:hAnsi="Times New Roman" w:cs="Times New Roman"/>
          <w:sz w:val="24"/>
          <w:szCs w:val="24"/>
          <w:lang w:val="en-US"/>
        </w:rPr>
        <w:t>at.%</w:t>
      </w:r>
      <w:proofErr w:type="gramEnd"/>
      <w:r w:rsidRPr="007767F2">
        <w:rPr>
          <w:rFonts w:ascii="Times New Roman" w:hAnsi="Times New Roman" w:cs="Times New Roman"/>
          <w:sz w:val="24"/>
          <w:szCs w:val="24"/>
          <w:lang w:val="en-US"/>
        </w:rPr>
        <w:t>) occurs at temperatures well below room temperature [1, 2].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In heavy normal metals such as Pt and W, which exhibit strong spin-orbit coupling, spatial redistribution of oppositely oriented spins occurs. The focus of this study is the direct and inverse spin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Hall effects in thin-film heterostructures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/Pt,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/Pt, and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/W, as well as their </w:t>
      </w:r>
      <w:proofErr w:type="spellStart"/>
      <w:r w:rsidRPr="007767F2">
        <w:rPr>
          <w:rFonts w:ascii="Times New Roman" w:hAnsi="Times New Roman" w:cs="Times New Roman"/>
          <w:sz w:val="24"/>
          <w:szCs w:val="24"/>
          <w:lang w:val="en-US"/>
        </w:rPr>
        <w:t>magne</w:t>
      </w:r>
      <w:r w:rsidR="002C3A7E">
        <w:rPr>
          <w:rFonts w:ascii="Times New Roman" w:hAnsi="Times New Roman" w:cs="Times New Roman"/>
          <w:sz w:val="24"/>
          <w:szCs w:val="24"/>
          <w:lang w:val="en-US"/>
        </w:rPr>
        <w:t>todynamic</w:t>
      </w:r>
      <w:proofErr w:type="spellEnd"/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properties investigated </w:t>
      </w:r>
      <w:r w:rsidR="002C3A7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ferromagnetic resonance (FMR).</w:t>
      </w:r>
    </w:p>
    <w:p w14:paraId="0A1E8E66" w14:textId="6FA4F3C5" w:rsidR="00550E10" w:rsidRPr="007767F2" w:rsidRDefault="00042651" w:rsidP="00DE2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hin-film structures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/Pt and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/Pt, along with the ferromagnetic layer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, were synthesized using molecular beam epitaxy, while the tungsten (W) layer was deposited via </w:t>
      </w:r>
      <w:r>
        <w:rPr>
          <w:rFonts w:ascii="Times New Roman" w:hAnsi="Times New Roman" w:cs="Times New Roman"/>
          <w:sz w:val="24"/>
          <w:szCs w:val="24"/>
          <w:lang w:val="en-US"/>
        </w:rPr>
        <w:t>electron-beam evaporation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. Structural characterization by low-energy electron diffraction</w:t>
      </w:r>
      <w:r w:rsidR="00550E10"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 (LEED)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and X-ray diffraction</w:t>
      </w:r>
      <w:r w:rsidR="00550E10"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 (XRD)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confirmed the epitaxial growth of all heterostructures and the presence of an </w:t>
      </w:r>
      <w:r w:rsidR="00550E10" w:rsidRPr="007767F2">
        <w:rPr>
          <w:rFonts w:ascii="Times New Roman" w:hAnsi="Times New Roman" w:cs="Times New Roman"/>
          <w:sz w:val="24"/>
          <w:szCs w:val="24"/>
        </w:rPr>
        <w:t>α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-phase tungsten layer. X</w:t>
      </w:r>
      <w:r w:rsidR="00550E10" w:rsidRPr="006D1DC0">
        <w:rPr>
          <w:rFonts w:ascii="Times New Roman" w:hAnsi="Times New Roman" w:cs="Times New Roman"/>
          <w:sz w:val="24"/>
          <w:szCs w:val="24"/>
          <w:lang w:val="en-US"/>
        </w:rPr>
        <w:t>RD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analysis revealed complete intermixing of Pt and Pd-Fe layers in the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/Pt bilayer heterostructure after ex-situ annealing at 800°C for 1 hour, which was not observed in the as-deposited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/Pt sample. 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>Additionally, the annealed Pd</w:t>
      </w:r>
      <w:r w:rsidR="00550E10" w:rsidRPr="00EA58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EA58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 xml:space="preserve">/Pt sample exhibited a 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weak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in-plane uniaxial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anisotropy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 xml:space="preserve">. This is 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reflected in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 xml:space="preserve"> FMR spectra line broadening and a resonance shift toward higher magnetic fields compared to the as-deposited heteroepitaxial Pd</w:t>
      </w:r>
      <w:r w:rsidR="00550E10" w:rsidRPr="00EA58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EA58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="00550E10" w:rsidRPr="00EA587A">
        <w:rPr>
          <w:rFonts w:ascii="Times New Roman" w:hAnsi="Times New Roman" w:cs="Times New Roman"/>
          <w:sz w:val="24"/>
          <w:szCs w:val="24"/>
          <w:lang w:val="en-US"/>
        </w:rPr>
        <w:t>/Pt structure.</w:t>
      </w:r>
      <w:r w:rsidR="00550E10"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FMR studies of the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/Pt sample revealed absorption line broadening relative to the resonance line of a single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thin film, attributed to losses caused by charge current generation in the normal metal under spin pumping conditions due to the inverse spin</w:t>
      </w:r>
      <w:r w:rsidR="00550E10" w:rsidRPr="006D1D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Hall effect.</w:t>
      </w:r>
    </w:p>
    <w:p w14:paraId="51499D2B" w14:textId="759D75D7" w:rsidR="00550E10" w:rsidRPr="007767F2" w:rsidRDefault="00550E10" w:rsidP="00DE2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7F2">
        <w:rPr>
          <w:rFonts w:ascii="Times New Roman" w:hAnsi="Times New Roman" w:cs="Times New Roman"/>
          <w:sz w:val="24"/>
          <w:szCs w:val="24"/>
          <w:lang w:val="en-US"/>
        </w:rPr>
        <w:t>Orientation-dependent FMR studies of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and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samples confirmed a tend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ency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 xml:space="preserve">cubic </w:t>
      </w:r>
      <w:proofErr w:type="spellStart"/>
      <w:r w:rsidRPr="007767F2">
        <w:rPr>
          <w:rFonts w:ascii="Times New Roman" w:hAnsi="Times New Roman" w:cs="Times New Roman"/>
          <w:sz w:val="24"/>
          <w:szCs w:val="24"/>
          <w:lang w:val="en-US"/>
        </w:rPr>
        <w:t>magnetocrystalline</w:t>
      </w:r>
      <w:proofErr w:type="spellEnd"/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anisotropy constants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651" w:rsidRPr="007767F2">
        <w:rPr>
          <w:rFonts w:ascii="Times New Roman" w:hAnsi="Times New Roman" w:cs="Times New Roman"/>
          <w:sz w:val="24"/>
          <w:szCs w:val="24"/>
          <w:lang w:val="en-US"/>
        </w:rPr>
        <w:t>decreas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, consistent with our previous findings for Pd-Fe alloys with iron concentrations up to 8% [1]. The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thin film exhibits weak uniaxial </w:t>
      </w:r>
      <w:proofErr w:type="spellStart"/>
      <w:r w:rsidRPr="007767F2">
        <w:rPr>
          <w:rFonts w:ascii="Times New Roman" w:hAnsi="Times New Roman" w:cs="Times New Roman"/>
          <w:sz w:val="24"/>
          <w:szCs w:val="24"/>
          <w:lang w:val="en-US"/>
        </w:rPr>
        <w:t>magnetocrystalline</w:t>
      </w:r>
      <w:proofErr w:type="spellEnd"/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anisotropy (</w:t>
      </w:r>
      <w:r w:rsidRPr="00042651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04265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u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6.3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10³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erg/cm³), typical for thin ferromagnetic films, with no in-plane anisotropy. In contrast, the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0.10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sample demonstrates uniaxial anisotropy (</w:t>
      </w:r>
      <w:r w:rsidRPr="00EA587A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A587A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u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6.5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10³</w:t>
      </w:r>
      <w:r w:rsidR="00042651" w:rsidRPr="000426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erg/cm³) and small in-plane anisotropy constants, with cubic (</w:t>
      </w:r>
      <w:r w:rsidRPr="00EA587A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6D1D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= 1.7 × 10³ erg/cm³) and tetragonal (</w:t>
      </w:r>
      <w:r w:rsidRPr="00EA587A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6D1D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A587A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1.4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10⁴</w:t>
      </w:r>
      <w:r w:rsidR="00EA587A" w:rsidRPr="00EA58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erg/cm³) contributions.</w:t>
      </w:r>
    </w:p>
    <w:p w14:paraId="101F6AB8" w14:textId="12314CDC" w:rsidR="00550E10" w:rsidRPr="007767F2" w:rsidRDefault="00550E10" w:rsidP="00DE2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In heavy normal metals Pt and W with strong spin-orbit coupling, spatial spin separation occurs. Experiments were conducted to observe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and inverse</w:t>
      </w:r>
      <w:r w:rsidR="00C30087" w:rsidRPr="00C300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 (ISHE)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in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/Pt and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/W heteroepitaxial structures. SHE was detected </w:t>
      </w:r>
      <w:r w:rsidR="00C30087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FMR spectra </w:t>
      </w:r>
      <w:r w:rsidR="00C30087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when an alternating electric current passed through the sample instead of modulating the magnetic field. Under these conditions, the direct SHE modulates the magnetization of the ferromagnetic layer, leading to a resonance line shift. In the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/Pt heterostructure, an effective modulation field of 50 </w:t>
      </w:r>
      <w:proofErr w:type="spellStart"/>
      <w:r w:rsidRPr="007767F2">
        <w:rPr>
          <w:rFonts w:ascii="Times New Roman" w:hAnsi="Times New Roman" w:cs="Times New Roman"/>
          <w:sz w:val="24"/>
          <w:szCs w:val="24"/>
          <w:lang w:val="en-US"/>
        </w:rPr>
        <w:t>mG</w:t>
      </w:r>
      <w:proofErr w:type="spellEnd"/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was estimated at an AC current amplitude of 5 mA, while in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/W, the corresponding values were 40 </w:t>
      </w:r>
      <w:proofErr w:type="spellStart"/>
      <w:r w:rsidRPr="007767F2">
        <w:rPr>
          <w:rFonts w:ascii="Times New Roman" w:hAnsi="Times New Roman" w:cs="Times New Roman"/>
          <w:sz w:val="24"/>
          <w:szCs w:val="24"/>
          <w:lang w:val="en-US"/>
        </w:rPr>
        <w:t>mG</w:t>
      </w:r>
      <w:proofErr w:type="spellEnd"/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at 2.5 mA. However, charge current passage through the heterostructure also induces an alternating magnetic field due to electromagnetic induction 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lastRenderedPageBreak/>
        <w:t>(Oersted field). To confirm the SHE contribution, the spatial distribution of the current-induced magnetic field in the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and Pd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layers was calculated. Comparison with the effective modulation field demonstrated that at least 70%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of the effective modulation field is due to </w:t>
      </w:r>
      <w:r w:rsidR="00C300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7767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4DBE22" w14:textId="1631AED5" w:rsidR="00550E10" w:rsidRDefault="006D1DC0" w:rsidP="00DE2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1DC0">
        <w:rPr>
          <w:rFonts w:ascii="Times New Roman" w:hAnsi="Times New Roman" w:cs="Times New Roman"/>
          <w:sz w:val="24"/>
          <w:szCs w:val="24"/>
          <w:lang w:val="en-US"/>
        </w:rPr>
        <w:t>The inverse spin-Hall effect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manifests </w:t>
      </w:r>
      <w:r w:rsidR="0095275C">
        <w:rPr>
          <w:rFonts w:ascii="Times New Roman" w:hAnsi="Times New Roman" w:cs="Times New Roman"/>
          <w:sz w:val="24"/>
          <w:szCs w:val="24"/>
          <w:lang w:val="en-US"/>
        </w:rPr>
        <w:t xml:space="preserve">itself in 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a voltage generated by spin-dependent electron scattering under spin pumping.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In experiments with a sample of the heteroepitaxial 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0.88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0.12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/Pt</w:t>
      </w:r>
      <w:r w:rsidR="00952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75C" w:rsidRPr="006D1DC0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, a voltage signal of ~1 </w:t>
      </w:r>
      <w:r w:rsidR="00550E10" w:rsidRPr="007767F2">
        <w:rPr>
          <w:rFonts w:ascii="Times New Roman" w:hAnsi="Times New Roman" w:cs="Times New Roman"/>
          <w:sz w:val="24"/>
          <w:szCs w:val="24"/>
        </w:rPr>
        <w:t>μ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V was detected </w:t>
      </w:r>
      <w:r w:rsidR="0095275C">
        <w:rPr>
          <w:rFonts w:ascii="Times New Roman" w:hAnsi="Times New Roman" w:cs="Times New Roman"/>
          <w:sz w:val="24"/>
          <w:szCs w:val="24"/>
          <w:lang w:val="en-US"/>
        </w:rPr>
        <w:t xml:space="preserve">below the Curie temperature of the ferromagnetic layer, 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between 20 and 150 K [4].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A weak dependence of the voltage amplitude on the sample temperature is observed. This, in our opinion, is due, on the one hand, to a decrease in magnetization with increasing temperature, thus reducing the spin current under spin pumping</w:t>
      </w:r>
      <w:r w:rsidR="0095275C" w:rsidRPr="00952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75C" w:rsidRPr="006D1DC0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 xml:space="preserve">, and on the other hand, the sample is a metal, whose resistance increases with increasing temperature. Thus, the two effects cancel each other in a given temperature range. The Hall angle for platinum was calculated, which at a temperature of 20 K was: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SHE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0.35±0.02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%</m:t>
        </m:r>
      </m:oMath>
      <w:r w:rsidRPr="006D1DC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Pr="006D1D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SHE signal was detected in Pd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0.94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E10" w:rsidRPr="007767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0.06</w:t>
      </w:r>
      <w:r w:rsidR="00550E10" w:rsidRPr="007767F2">
        <w:rPr>
          <w:rFonts w:ascii="Times New Roman" w:hAnsi="Times New Roman" w:cs="Times New Roman"/>
          <w:sz w:val="24"/>
          <w:szCs w:val="24"/>
          <w:lang w:val="en-US"/>
        </w:rPr>
        <w:t>/W due to its low magnetization, resulting in insufficient spin current under spin pumping.</w:t>
      </w:r>
    </w:p>
    <w:p w14:paraId="39AB5F27" w14:textId="77777777" w:rsidR="00DE2DE0" w:rsidRDefault="00DE2DE0" w:rsidP="00DE2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855307" w14:textId="77777777" w:rsidR="00DE2DE0" w:rsidRDefault="00DE2DE0" w:rsidP="00DE2D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4"/>
          <w:lang w:val="en-US" w:eastAsia="ru-RU"/>
        </w:rPr>
      </w:pPr>
      <w:r w:rsidRPr="00AE71D8">
        <w:rPr>
          <w:rFonts w:ascii="Times New Roman" w:hAnsi="Times New Roman" w:cs="Times New Roman"/>
          <w:sz w:val="16"/>
          <w:szCs w:val="16"/>
          <w:lang w:val="en-US"/>
        </w:rPr>
        <w:t xml:space="preserve">1. </w:t>
      </w:r>
      <w:proofErr w:type="spellStart"/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Yanilkin</w:t>
      </w:r>
      <w:proofErr w:type="spellEnd"/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I.V., Yusupov R.V. et al.: Epitaxial thin-film Pd</w:t>
      </w:r>
      <w:r w:rsidRPr="00AE71D8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1-x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Fe</w:t>
      </w:r>
      <w:r w:rsidRPr="00AE71D8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x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alloy: a tunable ferromagnet for superconducting spintronics. 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Science China Materials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</w:t>
      </w:r>
      <w:r w:rsidRPr="00AE71D8">
        <w:rPr>
          <w:rFonts w:ascii="Times New Roman" w:hAnsi="Times New Roman" w:cs="Times New Roman"/>
          <w:b/>
          <w:bCs/>
          <w:sz w:val="18"/>
          <w:szCs w:val="14"/>
          <w:lang w:val="en-US" w:eastAsia="ru-RU"/>
        </w:rPr>
        <w:t>63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,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p. 1-10 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(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2020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)</w:t>
      </w:r>
    </w:p>
    <w:p w14:paraId="40CEFABA" w14:textId="0A2AAC61" w:rsidR="00DE2DE0" w:rsidRPr="00DE2DE0" w:rsidRDefault="00DE2DE0" w:rsidP="00DE2DE0">
      <w:pPr>
        <w:spacing w:after="0" w:line="240" w:lineRule="auto"/>
        <w:jc w:val="both"/>
        <w:rPr>
          <w:rFonts w:ascii="Times New Roman" w:hAnsi="Times New Roman"/>
          <w:color w:val="020202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18"/>
          <w:szCs w:val="14"/>
          <w:lang w:val="en-US" w:eastAsia="ru-RU"/>
        </w:rPr>
        <w:t xml:space="preserve">2. </w:t>
      </w:r>
      <w:proofErr w:type="spellStart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Pulotov</w:t>
      </w:r>
      <w:proofErr w:type="spellEnd"/>
      <w:r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</w:t>
      </w:r>
      <w:proofErr w:type="spellStart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Zh.K</w:t>
      </w:r>
      <w:r>
        <w:rPr>
          <w:rFonts w:ascii="Times New Roman" w:hAnsi="Times New Roman" w:cs="Times New Roman"/>
          <w:sz w:val="18"/>
          <w:szCs w:val="14"/>
          <w:lang w:val="en-US" w:eastAsia="ru-RU"/>
        </w:rPr>
        <w:t>h</w:t>
      </w:r>
      <w:proofErr w:type="spellEnd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.</w:t>
      </w:r>
      <w:r>
        <w:rPr>
          <w:rFonts w:ascii="Times New Roman" w:hAnsi="Times New Roman" w:cs="Times New Roman"/>
          <w:sz w:val="18"/>
          <w:szCs w:val="14"/>
          <w:lang w:val="en-US" w:eastAsia="ru-RU"/>
        </w:rPr>
        <w:t>,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Yusupov R.V. et al.:</w:t>
      </w:r>
      <w:r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</w:t>
      </w:r>
      <w:proofErr w:type="spellStart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Magnetoresonant</w:t>
      </w:r>
      <w:proofErr w:type="spellEnd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properties and spin-Hall effects in epitaxial Pd</w:t>
      </w:r>
      <w:r w:rsidRPr="00020817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1-x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Fe</w:t>
      </w:r>
      <w:r w:rsidRPr="00020817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x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and Pd</w:t>
      </w:r>
      <w:r w:rsidRPr="00020817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1-x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Fe</w:t>
      </w:r>
      <w:r w:rsidRPr="00020817">
        <w:rPr>
          <w:rFonts w:ascii="Times New Roman" w:hAnsi="Times New Roman" w:cs="Times New Roman"/>
          <w:sz w:val="18"/>
          <w:szCs w:val="14"/>
          <w:vertAlign w:val="subscript"/>
          <w:lang w:val="en-US" w:eastAsia="ru-RU"/>
        </w:rPr>
        <w:t>x</w:t>
      </w:r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/Pt thin film structures</w:t>
      </w:r>
      <w:r>
        <w:rPr>
          <w:rFonts w:ascii="Times New Roman" w:hAnsi="Times New Roman" w:cs="Times New Roman"/>
          <w:sz w:val="18"/>
          <w:szCs w:val="14"/>
          <w:lang w:val="en-US" w:eastAsia="ru-RU"/>
        </w:rPr>
        <w:t xml:space="preserve">. </w:t>
      </w:r>
      <w:r w:rsidRPr="004131C9">
        <w:rPr>
          <w:rFonts w:ascii="Times New Roman" w:hAnsi="Times New Roman"/>
          <w:bCs/>
          <w:sz w:val="18"/>
          <w:szCs w:val="18"/>
          <w:lang w:val="en-US"/>
        </w:rPr>
        <w:t>Magneti</w:t>
      </w:r>
      <w:r w:rsidR="00020817">
        <w:rPr>
          <w:rFonts w:ascii="Times New Roman" w:hAnsi="Times New Roman"/>
          <w:bCs/>
          <w:sz w:val="18"/>
          <w:szCs w:val="18"/>
          <w:lang w:val="en-US"/>
        </w:rPr>
        <w:t>c</w:t>
      </w:r>
      <w:r w:rsidRPr="004131C9">
        <w:rPr>
          <w:rFonts w:ascii="Times New Roman" w:hAnsi="Times New Roman"/>
          <w:bCs/>
          <w:sz w:val="18"/>
          <w:szCs w:val="18"/>
          <w:lang w:val="en-US"/>
        </w:rPr>
        <w:t xml:space="preserve"> Resonance – Current State and Future Perspective (EPR-80). Book of abstracts</w:t>
      </w:r>
      <w:r>
        <w:rPr>
          <w:rFonts w:ascii="Times New Roman" w:hAnsi="Times New Roman"/>
          <w:bCs/>
          <w:sz w:val="18"/>
          <w:szCs w:val="18"/>
          <w:lang w:val="en-US"/>
        </w:rPr>
        <w:t xml:space="preserve">, </w:t>
      </w:r>
      <w:r>
        <w:rPr>
          <w:rFonts w:ascii="Times New Roman" w:hAnsi="Times New Roman"/>
          <w:color w:val="020202"/>
          <w:sz w:val="18"/>
          <w:szCs w:val="18"/>
          <w:shd w:val="clear" w:color="auto" w:fill="FFFFFF"/>
          <w:lang w:val="en-US"/>
        </w:rPr>
        <w:t>p</w:t>
      </w:r>
      <w:r w:rsidRPr="004131C9">
        <w:rPr>
          <w:rFonts w:ascii="Times New Roman" w:hAnsi="Times New Roman"/>
          <w:color w:val="020202"/>
          <w:sz w:val="18"/>
          <w:szCs w:val="18"/>
          <w:shd w:val="clear" w:color="auto" w:fill="FFFFFF"/>
          <w:lang w:val="en-US"/>
        </w:rPr>
        <w:t>. 142-143</w:t>
      </w:r>
      <w:r>
        <w:rPr>
          <w:rFonts w:ascii="Times New Roman" w:hAnsi="Times New Roman"/>
          <w:color w:val="020202"/>
          <w:sz w:val="18"/>
          <w:szCs w:val="18"/>
          <w:shd w:val="clear" w:color="auto" w:fill="FFFFFF"/>
          <w:lang w:val="en-US"/>
        </w:rPr>
        <w:t xml:space="preserve"> (2024)</w:t>
      </w:r>
    </w:p>
    <w:p w14:paraId="5F757A79" w14:textId="77777777" w:rsidR="00DE2DE0" w:rsidRDefault="00DE2DE0" w:rsidP="00DE2DE0">
      <w:pPr>
        <w:tabs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en-US" w:eastAsia="ru-RU"/>
        </w:rPr>
      </w:pPr>
      <w:r w:rsidRPr="009F5E5E">
        <w:rPr>
          <w:rFonts w:ascii="Times New Roman" w:hAnsi="Times New Roman"/>
          <w:color w:val="020202"/>
          <w:sz w:val="18"/>
          <w:szCs w:val="18"/>
          <w:shd w:val="clear" w:color="auto" w:fill="FFFFFF"/>
          <w:lang w:val="en-US"/>
        </w:rPr>
        <w:t xml:space="preserve">3. </w:t>
      </w:r>
      <w:r w:rsidRPr="009F5E5E">
        <w:rPr>
          <w:rFonts w:ascii="Times New Roman" w:hAnsi="Times New Roman" w:cs="Times New Roman"/>
          <w:sz w:val="18"/>
          <w:szCs w:val="18"/>
          <w:lang w:val="en-US" w:eastAsia="ru-RU"/>
        </w:rPr>
        <w:t>Sinova J. et al.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:</w:t>
      </w:r>
      <w:r w:rsidRPr="009F5E5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Spin Hall effect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.</w:t>
      </w:r>
      <w:r w:rsidRPr="009F5E5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Reviews of Modern Physics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060FE">
        <w:rPr>
          <w:rFonts w:ascii="Times New Roman" w:hAnsi="Times New Roman" w:cs="Times New Roman"/>
          <w:b/>
          <w:bCs/>
          <w:sz w:val="18"/>
          <w:szCs w:val="18"/>
          <w:lang w:val="en-US" w:eastAsia="ru-RU"/>
        </w:rPr>
        <w:t>87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, p. 1213-1260 (2015)</w:t>
      </w:r>
    </w:p>
    <w:p w14:paraId="38E86A0B" w14:textId="77777777" w:rsidR="00DE2DE0" w:rsidRPr="009F5E5E" w:rsidRDefault="00DE2DE0" w:rsidP="00DE2DE0">
      <w:pPr>
        <w:tabs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val="en-US" w:eastAsia="ru-RU"/>
        </w:rPr>
      </w:pP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4. </w:t>
      </w:r>
      <w:proofErr w:type="spellStart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Pulotov</w:t>
      </w:r>
      <w:proofErr w:type="spellEnd"/>
      <w:r>
        <w:rPr>
          <w:rFonts w:ascii="Times New Roman" w:hAnsi="Times New Roman" w:cs="Times New Roman"/>
          <w:sz w:val="18"/>
          <w:szCs w:val="14"/>
          <w:lang w:val="en-US" w:eastAsia="ru-RU"/>
        </w:rPr>
        <w:t xml:space="preserve"> </w:t>
      </w:r>
      <w:proofErr w:type="spellStart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Zh.K</w:t>
      </w:r>
      <w:r>
        <w:rPr>
          <w:rFonts w:ascii="Times New Roman" w:hAnsi="Times New Roman" w:cs="Times New Roman"/>
          <w:sz w:val="18"/>
          <w:szCs w:val="14"/>
          <w:lang w:val="en-US" w:eastAsia="ru-RU"/>
        </w:rPr>
        <w:t>h</w:t>
      </w:r>
      <w:proofErr w:type="spellEnd"/>
      <w:r w:rsidRPr="004131C9">
        <w:rPr>
          <w:rFonts w:ascii="Times New Roman" w:hAnsi="Times New Roman" w:cs="Times New Roman"/>
          <w:sz w:val="18"/>
          <w:szCs w:val="14"/>
          <w:lang w:val="en-US" w:eastAsia="ru-RU"/>
        </w:rPr>
        <w:t>.</w:t>
      </w:r>
      <w:r w:rsidRPr="009060FE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, </w:t>
      </w:r>
      <w:r w:rsidRPr="00AE71D8">
        <w:rPr>
          <w:rFonts w:ascii="Times New Roman" w:hAnsi="Times New Roman" w:cs="Times New Roman"/>
          <w:sz w:val="18"/>
          <w:szCs w:val="14"/>
          <w:lang w:val="en-US" w:eastAsia="ru-RU"/>
        </w:rPr>
        <w:t>Yusupov R.V.</w:t>
      </w:r>
      <w:r w:rsidRPr="009060FE">
        <w:rPr>
          <w:rFonts w:ascii="Times New Roman" w:hAnsi="Times New Roman" w:cs="Times New Roman"/>
          <w:sz w:val="18"/>
          <w:szCs w:val="14"/>
          <w:lang w:val="en-US" w:eastAsia="ru-RU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S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pin 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H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all effects in the heteroepitaxial structure Pd</w:t>
      </w:r>
      <w:r w:rsidRPr="009060FE">
        <w:rPr>
          <w:rFonts w:ascii="Times New Roman" w:hAnsi="Times New Roman" w:cs="Times New Roman"/>
          <w:sz w:val="18"/>
          <w:szCs w:val="18"/>
          <w:vertAlign w:val="subscript"/>
          <w:lang w:val="en-US" w:eastAsia="ru-RU"/>
        </w:rPr>
        <w:t>0.88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Fe</w:t>
      </w:r>
      <w:r w:rsidRPr="009060FE">
        <w:rPr>
          <w:rFonts w:ascii="Times New Roman" w:hAnsi="Times New Roman" w:cs="Times New Roman"/>
          <w:sz w:val="18"/>
          <w:szCs w:val="18"/>
          <w:vertAlign w:val="subscript"/>
          <w:lang w:val="en-US" w:eastAsia="ru-RU"/>
        </w:rPr>
        <w:t>0.12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/Pt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 xml:space="preserve">. 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>Competition for the best scientific work of KFU students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, p. 89-92 (2024)</w:t>
      </w:r>
      <w:r w:rsidRPr="009060FE">
        <w:rPr>
          <w:rFonts w:ascii="Times New Roman" w:hAnsi="Times New Roman" w:cs="Times New Roman"/>
          <w:sz w:val="18"/>
          <w:szCs w:val="18"/>
          <w:lang w:val="en-US"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 w:eastAsia="ru-RU"/>
        </w:rPr>
        <w:t>(In Russian)</w:t>
      </w:r>
    </w:p>
    <w:p w14:paraId="482AA83F" w14:textId="77777777" w:rsidR="00DE2DE0" w:rsidRPr="007767F2" w:rsidRDefault="00DE2DE0" w:rsidP="006D1DC0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F6A1C5" w14:textId="77777777" w:rsidR="00DE35F7" w:rsidRPr="00550E10" w:rsidRDefault="00DE35F7" w:rsidP="00550E10">
      <w:pPr>
        <w:spacing w:before="510" w:after="0" w:line="240" w:lineRule="auto"/>
        <w:ind w:firstLine="318"/>
        <w:rPr>
          <w:lang w:val="en-US"/>
        </w:rPr>
      </w:pPr>
    </w:p>
    <w:sectPr w:rsidR="00DE35F7" w:rsidRPr="00550E10" w:rsidSect="006D1DC0">
      <w:pgSz w:w="11906" w:h="16838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A4"/>
    <w:rsid w:val="00020817"/>
    <w:rsid w:val="00042651"/>
    <w:rsid w:val="001844E6"/>
    <w:rsid w:val="002C3A7E"/>
    <w:rsid w:val="003D2C04"/>
    <w:rsid w:val="00550E10"/>
    <w:rsid w:val="005E0AAF"/>
    <w:rsid w:val="006D1DC0"/>
    <w:rsid w:val="006E7879"/>
    <w:rsid w:val="007F2989"/>
    <w:rsid w:val="00836FEA"/>
    <w:rsid w:val="008A37EC"/>
    <w:rsid w:val="009107BB"/>
    <w:rsid w:val="0095275C"/>
    <w:rsid w:val="00A43B40"/>
    <w:rsid w:val="00A842A4"/>
    <w:rsid w:val="00BB257B"/>
    <w:rsid w:val="00C30087"/>
    <w:rsid w:val="00C66737"/>
    <w:rsid w:val="00CA185E"/>
    <w:rsid w:val="00D4678F"/>
    <w:rsid w:val="00DE2DE0"/>
    <w:rsid w:val="00DE35F7"/>
    <w:rsid w:val="00E052D7"/>
    <w:rsid w:val="00EA587A"/>
    <w:rsid w:val="00F2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BFD1"/>
  <w15:chartTrackingRefBased/>
  <w15:docId w15:val="{9558299E-038C-48A9-82B5-ADB2B30B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10"/>
  </w:style>
  <w:style w:type="paragraph" w:styleId="1">
    <w:name w:val="heading 1"/>
    <w:basedOn w:val="a"/>
    <w:next w:val="a"/>
    <w:link w:val="10"/>
    <w:uiPriority w:val="9"/>
    <w:qFormat/>
    <w:rsid w:val="00A8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2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2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2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2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2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2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2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2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2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2A4"/>
    <w:rPr>
      <w:b/>
      <w:bCs/>
      <w:smallCaps/>
      <w:color w:val="2F5496" w:themeColor="accent1" w:themeShade="BF"/>
      <w:spacing w:val="5"/>
    </w:rPr>
  </w:style>
  <w:style w:type="paragraph" w:customStyle="1" w:styleId="NMRCMAddres">
    <w:name w:val="NMRCM_Addres"/>
    <w:basedOn w:val="a"/>
    <w:rsid w:val="00550E10"/>
    <w:pPr>
      <w:widowControl w:val="0"/>
      <w:suppressAutoHyphens/>
      <w:spacing w:after="0" w:line="240" w:lineRule="exact"/>
      <w:jc w:val="both"/>
    </w:pPr>
    <w:rPr>
      <w:rFonts w:ascii="Verdana" w:eastAsia="Times New Roman" w:hAnsi="Verdana" w:cs="Times New Roman"/>
      <w:i/>
      <w:iCs/>
      <w:kern w:val="0"/>
      <w:sz w:val="16"/>
      <w:szCs w:val="16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Жамшед Пулотов</dc:creator>
  <cp:keywords/>
  <dc:description/>
  <cp:lastModifiedBy>Roman Yusupov</cp:lastModifiedBy>
  <cp:revision>10</cp:revision>
  <dcterms:created xsi:type="dcterms:W3CDTF">2025-06-24T09:46:00Z</dcterms:created>
  <dcterms:modified xsi:type="dcterms:W3CDTF">2025-06-24T19:49:00Z</dcterms:modified>
</cp:coreProperties>
</file>